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2019/204 vom 17. Oktober 2020</w:t>
      </w:r>
    </w:p>
    <w:p>
      <w:r>
        <w:t>Sg Verwaltungsgericht, 2020-10-17, DE</w:t>
      </w:r>
    </w:p>
    <w:p>
      <w:r>
        <w:rPr>
          <w:b/>
        </w:rPr>
        <w:t xml:space="preserve">Quelle: </w:t>
      </w:r>
      <w:r>
        <w:t>https://mcp.opencaselaw.ch/entscheid/sg_publikationen_B 2019_204</w:t>
      </w:r>
    </w:p>
    <w:p>
      <w:r>
        <w:t>FR: SG_VERWALTUNGSGERICHT B 2019/204 du 17 octobre 2020</w:t>
      </w:r>
    </w:p>
    <w:p>
      <w:r>
        <w:t>IT: SG_VERWALTUNGSGERICHT B 2019/204 del 17 ottobre 2020</w:t>
      </w:r>
    </w:p>
    <w:p>
      <w:pPr>
        <w:pStyle w:val="Heading2"/>
      </w:pPr>
      <w:r>
        <w:t>Regeste</w:t>
      </w:r>
    </w:p>
    <w:p>
      <w:r>
        <w:t>Baurecht, Baubewilligung, Verfahren, Art. 45 Abs. 1 VRP, Art. 11 Abs. 2 VISOS, Art. 99 Abs. 1 PBG. Rekurslegitimation der Beschwerdeführer im Umkreis zum Baugrundstück von weniger als 100 m bejaht (E. 3). Die rechtlichen Verhältnisse seit Erlass der Zonenplanänderung auf dem Baugrundstück haben sich nicht derart geändert, dass der Plan überarbeitet werden muss (E. 6). Bestätigung des vorinstanzlichen Rekursentscheids, wonach das umstrittene Bauvorhaben nicht zu einer Beeinträchtigung der Umgebung von Kulturschutzobjekten führt (E. 7), (Verwaltungsgericht, B 2019/204). Die gegen dieses Urteil erhobene Beschwerde ans Bundesgericht wurde mit Urteil vom 7. Januar 2022 abgewiesen (Verfahren 1C_643/2020).</w:t>
      </w:r>
    </w:p>
    <w:p>
      <w:pPr>
        <w:pStyle w:val="Heading2"/>
      </w:pPr>
      <w:r>
        <w:t>Erwägungen</w:t>
      </w:r>
    </w:p>
    <w:p>
      <w:r>
        <w:rPr>
          <w:b/>
        </w:rPr>
        <w:t>E. 2</w:t>
      </w:r>
    </w:p>
    <w:p>
      <w:r>
        <w:t>) bekannt und diese von ihr berücksichtigt worden sind, wenngleich sich dem Planungsbericht vom 2. März 2009 (act. 39, S. 8) und den übrigen Planungsunterlagen (act. 29.1-29.4) dazu – entsprechend der damaligen, bis zum Bundesgerichtsurteil BGE 135 II 209 vom 1. April 2009 bestehenden Praxis – keine diesbezüglichen Begründungen der Beschwerdebeteiligten im Sinne von Art. 3 Abs. 2 der Raumplanungsverordnung (SR 700.1, RPV) entnehmen lassen und weder die DP noch das BD als Genehmigungsbehörde befugt gewesen wären, eine allenfalls fehlende Ermessensausübung durch die Beschwerdebeteiligte als zuständiger Planungsbehörde nach Inkrafttreten des ISOS am 1. Mai 2010 im Genehmigungsverfahren nachzuholen (vgl. dazu Art. 1 und Art. 7 PBG sowie VerwGE B 2010/266; B 2012/227 vom 22. März 2018 E. 4.2 und 5.3.4 mit Hinweisen). Es kann demnach nicht gesagt werden, das ISOS sei in den rechtskräftig erlassenen Zonenplan auf Parzelle Nr. 0000__ überhaupt nicht eingeflossen. Überdies schreibt das ENHK-Gutachten eine Auszonung der Parzelle Nr. 0000__ nicht zwingend vor, sondern überlässt es dem Planungsermessen der Beschwerdebeteiligten – "befolgt werden kann" –, ob anstelle einer Auszonung eine maximal zweigeschossige Gebäudehöhe vorgeschrieben werden soll (anders: act. 36, S. 11 Rz. 36). Daraus folgt, dass der fragliche Zonenplan, in welchem das Grundstück Nr. 0000__ überwiegend der Wohnzone W2c sowie der Grünzone Erholung zugeteilt und lediglich der südliche Teil dieses Grundstücks der Wohnzone W3 zugewiesen ist, die Schutzziele des ISOS nicht geradezu missachtet (vgl. dazu auch Amtsbericht der DP vom 28. März 2019, act. 8/13). Zu keinem anderen Schluss führt, dass auf Parzelle Nr. 0000__ in den Unterlagen zur Vernehmlassung der (kommunalen) Richtplananpassung 2009 (nicht aktenkundig) offenbar ursprünglich nur eine Wohnzone W2 vorgesehen war (vgl. dazu ENHK-Gutachten, S. 7 f., 10) und die am 7. Juli 2009 im Grundbuch eingetragene Bauhöhenbeschränkung (443.85 m.ü.M.) zulasten des Grundstücks Nr. 0000__ (act. 8/6/3) zumindest im Südteil dieses Grundstücks die Erstellung von drei Vollgeschossen auch privatrechtlich erlaubt (vgl. dazu Plan "Schnitte" vom 17. Oktober 2017, act. 8/7/1). Weitere Umstände, welche für die akzessorische Überprüfung der Zonierung der Parzelle Nr. 0000__ sprechen würden, sind nicht ersichtlich und werden von den Beschwerdeführern auch nicht dargetan. Damit liegen nicht so erheblich veränderte rechtliche Verhältnisse seit Erlass des Zonenplans vor, dass der Zonenplan auf Parzelle Nr. 0000__ rechtswidrig geworden sein könnte und deshalb akzessorisch zu überprüfen wäre (vgl. demgegenüber BGer 1C_276/2015 vom 29. April 2016 E. 3.3.1 ff. sowie zur Planungspflicht der Gemeinde Art. 75 Abs. 1 BV, Art. 2 Abs. 1 RPG und Art. 1 Abs. 1 PBG). Falls dessen ungeachtet von wesentlich veränderten rechtlichen Verhältnissen ausgegangen würde, wäre das öffentliche und private Interesse an der Beständigkeit der geltenden Zonenordnung als hoch einzustufen, da die Regeldauer für die Überarbeitung des fraglichen Zonenplans von 15 Jahren (vgl. Art. 15 Abs. 1 RPG sowie BGE 145 II 83 E. 5.4 und BGer 1C_245/2017 vom 1. November 2017 E. 4.4 je mit Hinweisen) noch nicht verstrichen ist. Zu keinem anderen Ergebnis führte auch der Umstand, dass die Parzelle Nr. 0000__, abgesehen von der Zufahrt zur Parzelle Nr. 0024__ und der diesem Grundstück dienenden Gartenanlage, unüberbaut ist. Das gewichtige Interesse an der Planbeständigkeit vermöchte deshalb das Interesse an der Anpassung des am 9. März 2011 genehmigten Zonenplans auf Parzelle Nr. 0000__ zu überwiegen. Wie die Vorinstanz in Erwägung 6.7.4 des angefochtenen Entscheids (act. 2/1, S. 19 f.) demnach zutreffend ausgeführt hat, durfte die Beschwerdebeteiligte das strittige Baugesuch aufgrund der geltenden Zonierung und der zugehörigen Bauvorschriften beurteilen. Schliesslich rügen die Beschwerdeführer, das Bauvorhaben sei mit den Vorschriften zum Schutz des Orts- und Landschaftsbildes nicht vereinbar (act. 1, S. 41-63 Rz. 65-133, act. 14 Rz. 6-24, act. 36 Rz. 14 f., 20-36, act. 42.1, S. 7-9 Rz. 13-25, act. 46). Bauten haben nicht nur die geltende Bau- und Zonenordnung einzuhalten, sondern auch den Anforderungen ästhetischer Schutzbestimmungen (etwa Verunstaltungsverboten) sowie Beeinträchtigungsverboten von Baudenkmälern zu genügen. Solche Vorschriften haben eine eigenständige Bedeutung, da sich ihr Schutzbereich nicht zwingend mit demjenigen der Bauvorschriften deckt (vgl. BGer 1C_42/2018 vom 8. August 2018 E. 3.4 mit Hinweisen sowie das von den Beschwerdeführern angerufene Urteil BGer 1P.709/2004 vom 15. April 2005 E. 2.4). Wie die Beschwerdeführer zu Recht ausgeführt haben, sieht der unmittelbar anwendbare Art. 99 Abs. 1 PBG im Unterschied zu Art. 93 Abs. 1 BauG neu und zusätzlich einen ausdrücklichen Schutz von Baudenkmälern und damit Schutzgegenständen (vgl. Art. 115 lit. g PBG) vor Beeinträchtigungen vor, womit die Bestimmung gegenüber Art. 93 Abs. 1 BauG inhaltlich erweitert wurde. Ob eine Beeinträchtigung eines Baudenkmals vorliegt, richtet sich nach anderen Kriterien und unterliegt einem anderen Massstab als die Beurteilung einer Verunstaltung. Unter anderem ist eine Beeinträchtigung nicht erst dann gegeben, wenn nach allgemeiner Auffassung etwas qualifiziert Unschönes geplant ist. Vielmehr ist ein strenger Massstab anzulegen und eine Beeinträchtigung, ausgehend von Schutzzweck und -umfang des betroffenen Baudenkmals, bereits bei einer klar erkennbaren Störung zu bejahen. Ob diese dann allerdings zu einem Bauverbot führt, ist im Rahmen einer sorgfältigen Interessenabwägung zu entscheiden (vgl. Kaiser/Manser, in: Ehrenzeller/Engeler [Hrsg.], a.a.O., N 26 zu § 6, und W. Ritter, in: Bereuter/Frei/derselbe [Hrsg.], a.a.O, N 3 zu Art. 99 PBG, siehe demgegenüber zum Verunstaltungsverbot nach Art. 93 Abs. 1 BauG VerwGE B 2019/22 vom 16. August 2019 E. 4.7, VerwGE B 2016/93 vom 14. Dezember 2017 E. 5.2, VerwGE B 2005/137 vom 24. Januar 2006 E. 1b/dd und GVP 2002 Nr. 12 je mit Hinweis[en] sowie zu unzulässigen positiven Gestaltungsvorschriften VerwGE B 2008/143; B 2008/149 vom 14. Mai 2009 E. 3.1.5 mit Hinweisen, vom Bundesgericht bestätigt mit Urteil BGer 1C_519/2012 vom 14. August 2013 E. 2.5). Aus Art. 99 Abs. 1 PBG kann geschlossen werden, dass der Schutz von Baudenkmälern vor Beeinträchtigungen auch einen eigentlichen Umgebungsschutz miteinschliesst, da der Begriff des Baudenkmals nach Art. 115 lit. g PBG auch die Umgebung von Bauten und Anlagen miterfasst. Der konkrete Umfang der zu beachtenden Umgebung ist dabei im Einzelfall zu bestimmen (vgl. Kaiser/Manser, in: Ehrenzeller/Engeler [Hrsg.], a.a.O., N 28 zu § 6). Gleichermassen schreibt Art. 5 SchutzV vor, dass in der unmittelbaren Umgebung der von dieser Verordnung erfassten Schutzgegenstände alle Massnahmen untersagt sind, welche diese Schutzgegenstände beeinträchtigen. Eine Beeinträchtigung im Sinne von Art. 99 Abs. 1 PBG und Art. 5 SchutzV liegt vor, wenn ein Schutzobjekt durch Veränderungen in seiner Umgebung in jenen Bereichen, die es einzigartig oder charakteristisch machen und aufgrund derer es unter Schutz gestellt wurde, in erheblicher bzw. umfangreicher Weise beeinträchtigt wird. Dagegen liegt keine solche Beeinträchtigung vor, wenn ein Schutzobjekt in seiner geschützten Beschaffenheit und Wirkung durch Veränderungen innerhalb seines Wirkungskreises nur unerheblich eingeschränkt wird (vgl. W. Engeler, in: Ehrenzeller/derselbe [Hrsg.], a.a.O., N 176 zu § 7). Bei der Überprüfung des unbestimmten Rechtsbegriffs der "Beeinträchtigung", welcher lokale Umstände betrifft, hat sich das Verwaltungsgericht eine richterliche Zurückhaltung aufzuerlegen (vgl. BGE 145 I 52 E. 3.6 und VerwGE B 2019/219 vom 29. August 2020 E. 8.2 je mit Hinweisen). Nicht anwendbar ist im vorliegenden Fall die positive ästhetikklausel von Art. 7 SchutzV, da das Baugrundstück Nr. 0000__ ausserhalb des Ortsbildes Y.__ nach Anhang II Nr. 9 SchutzV liegt (vgl. www.geoportal.ch). Nach ständiger bundesgerichtlicher Rechtsprechung darf das Gericht in Fachfragen nicht ohne triftige Gründe von Sachverständigengutachten abweichen (vgl. BGE 145 II 70 E. 5.5 mit Hinweisen, anders: BVR 2017, S. 556 ff., E. 5.2 mit Hinweisen), auch wenn der entscheidenden Behörde eine im Übrigen freie Beweiswürdigung zusteht (vgl. BGer 1C_583/2017 vom 11. Februar 2019 in BGE 145 II 176 nicht publizierte E. 5.6 mit Hinweisen, in: URP 2019, S. 249 ff.). Besonderes Gewicht kommt im Bereich des Natur- und Heimatschutzes den Gutachten der ENHK zu. Dies gilt nicht nur für die obligatorische Begutachtung nach Art. 7 NHG (vgl. zum neuen, am 1. April 2020 in Kraft gesetzten Art. 7 Abs. 3 NHG: D. Kawa, Was ändert sich, wenn alles gleichbleibt? – Eine Bestandesaufnahme der abgeschlossenen NHG-Revision, in: URP 2020, S. 131 ff.), sondern auch für die fakultative Begutachtung nach Art. 8 NHG (vgl. BGer 1C_528/2018; 1C_530/2018 vom 17. Oktober 2019 E. 4.5 mit Hinweisen, in: BR 2020, S. 81 und 96 ff.). In gleicher Weise kommen den besonderen Gutachten der ENHK gemäss Art. 17a NHG in Verbindung mit Art. 25 Abs. 1 lit. e NHV grosses Gewicht und Verbindlichkeit zu (vgl. LGVE 2010 II Nr. 10 E. 5c/bb und J. Leimbacher, in: Keller/Zufferey/Fahrländer [Hrsg.], a.a.O., N 12 zu Art. 17a NHG mit Hinweis auf BGer 1C_893/2013; 1C_895/2013 vom 1. Oktober 2014 E. 5.3.3 mit Hinweisen). Nicht umstritten ist, dass es sich beim vorliegenden ENHK-Gutachten um ein besonderes Gutachten im Sinne von Art. 17a NHG in Verbindung mit Art. 25 Abs. 1 lit. e der Verordnung über den Natur- und Heimatschutz (SR 451.1, NHV) handelt (vgl. dazu BGer 1C_398/2015 vom 9. August 2016 E. 3.2 mit Hinweisen). Ein solches durfte die Kommission nur mit Zustimmung des Kantons erstellen. Die Neuregelung von Art. 7 Abs. 3 NHG findet darauf keine Anwendung (vgl. Kawa, a.a.O., S. 138). Anhaltspunkte dafür, dass das Gutachten in Bezug auf das Baugrundstück Nr. 0000__ nicht mit Zustimmung der Beschwerdebeteiligten und der DP erstellt worden wäre, bestehen nicht. Daran ändert nichts, dass die Begutachtung in erster Linie mit Blick auf allfällige Anpassungen der Nutzungsplanung zur Realisierung eines Pflegezentrums resp. einer Wohnüberbauung auf den Grundstücken Nrn. 0002__ und 0025__ bzw. 0003__ erfolgte. Die DP unterbreitete der ENHK insbesondere folgende Fragen (lit. a): "Welche Bedeutung kommt dem gesamten Landschafts- und Kulturraum Y.__ aus der Sicht von Ortsbildschutz, Landschaftsschutz und Denkmalpflege zu? Inwiefern ist die Beschaffenheit des Hangfusses für den gesamten Landschafts- und Kulturraum Y.__ von Bedeutung?" Wie die Beschwerdeführer zutreffend festgehalten haben (act. 14, S. 7 f. Rz. 17), erfüllt das ENHK-Gutachten demgemäss nichts anderes als den explizit erteilten Auftrag. Überdies ist nicht ersichtlich, inwiefern die ENHK das ihr bei der Ausfertigung des Gutachtens zustehende Ermessen rechtsfehlerhaft ausgeübt haben sollte (vgl. dazu BGE 136 II 214 E. 5 mit Hinweis). Daran vermögen auch die teilweise diametral in Widerspruch zum Gutachten stehenden Ausführungen der DP (insbesondere hinsichtlich des schwerwiegenden Eingriffs in den Hangbereich, der Hangfusslinie, der Sichtverhältnisse auf den Hangfuss sowie des Bezugs der Umgebungsrichtung K.__ XI auf den Y.__) im Amtsbericht vom 28. März 2019 (act. 8/13), welcher nicht zu einer konkreten Fragestellung eingeholt wurde (vgl. dazu Zwischenverfügung der Vorinstanz vom 17. Januar 2019, act. 8/8, und VerwGE B 2005/116 vom 24. Januar 2006 E. 2d/cc mit Hinweisen), sowie in der Stellungnahme vom 1. Juli 2020 (act. 35) nichts zu ändern (vgl. dazu auch act. 42.1, S. 3 f. Rz. 6 f.). Trotz gegenteiliger Meinung der Beschwerdegegnerin (act. 12, S. 8 f. Ziff. II/B/18) liegt demzufolge, namentlich hinsichtlich der Parzelle Nr. 0000__, zulässigerweise ein besonderes Gutachten der ENHK vor. Anders als die Beschwerdegegnerin in ihrer Stellungnahme vom 21. November 2019 (act. 12, S. 8 Ziff. II/B/17) ging die Vorinstanz (vgl. E. 6.6 des angefochtenen Entscheids, act. 2/1, S. 17 f.) sodann richtigerweise davon aus, dass die ISOS-Schutzziele für das Gebiet Y.__ aufgrund des ENHK-Gutachtens tatsächlich konkretisiert worden sind. Allerdings erscheint die Tatsache rechtsstaatlich nicht unbedenklich, dass die Grundeigentümerschaft am Verfahren, in welchem das Gutachten eingeholt wurde, nicht beteiligt war und sich somit nicht äussern konnte (vgl. dazu Karlen, a.a.O., zur analogen Thematik betreffend Erlass des ISOS). Entgegen der Auffassung der Vorinstanz (vgl. E. 6.7.4 des angefochtenen Entscheids, act. 2/1, S. 19 f.) kann indes nicht gesagt werden, es hätte der Konkretisierung im ENHK-Gutachten gar nicht bedurft. Für die Abgrenzung der Umgebungsrichtung U-Ri XI K.__ waren diese Konkretisierungen, wie die Beschwerdeführer zutreffend ausführen (act. 1, S. 56 f. Rz. 117 f.), unabdingbar (vgl. dazu BGer 1A.73-77/2002 vom 6. Oktober 2003 E. 5.5.1 mit Hinweisen, allerdings in Bezug auf das Bundesinventar der Landschaften und Naturdenkmäler [BLN]). Allein gestützt auf den Richtungspfeil auf der im Internet publizierten (https://data.geo.admin.ch) ISOS-Karte zum Objekt X.__ als Kleinstadt/Flecken, Massstab 1:5'000, lässt sich eine solche Abgrenzung nicht parzellenscharf vornehmen. Triftige Gründe, welche ein Abweichen von den im Gutachten vorgenommenen fachwissenschaftlichen Feststellungen (vgl. E. 6.2 hiervor) rechtfertigen würden, liegen nicht vor. Die Schlussfolgerungen der ENHK basieren auf dem Augenschein vom 26. April 2013. Ihre Einschätzungen sind sachlich fundiert, detailliert und sorgfältig begründet sowie objektiv nachvollziehbar. Nach dem ENHK-Gutachten ist gemäss den Schutzzielen der Umgebungsrichtung U-Ri XI K.__ in tatsächlicher Hinsicht von einer besonders empfindlichen baulichen und landschaftlichen Umgebung der in Anhang I SchutzV aufgeführten Kulturschutzobjekte Schloss und Haus Y.__ mitsamt ökonomiegebäuden (Assek.-Nrn. 0004__ f., 0005__, und 0006__-0008__) auszugehen. Die ENHK führte aus (S. 9), die Wohnzone W3 auf Parzelle Nr. 0000__ beeinträchtige den Blick auf das Ensemble des Y.__s in schwerwiegender Weise und verunkläre die topographische Situation. Als Massnahme zur Milderung des schwerwiegenden Eingriffs in den Hangbereich durch die Wohnzone W3 müsse mindestens die Bebauung in diesem Bereich auf eine maximal zweigeschossige Gebäudehöhe beschränkt werden (S. 10). Der Passus "eine maximal zweigeschossige Gebäudehöhe" lässt Raum für die Auslegung im Einzelfall. Unter Wahrung des der Vorinstanz dabei zustehenden Handlungsspielraums erscheint vorab deren Auslegung in Erwägung 7.2 des angefochtenen Entscheids (act. 2/1, S. 21, siehe dazu auch act. 32, S. 6 f. Votum Z.__, sowie E. 5.3 des Einspracheentscheids der Beschwerdebeteiligten vom 8. Oktober 2018, act. 8/7/11, S. 6 f.) vertretbar, wonach Gebäude gemäss dem Gutachten maximal zwei Vollgeschosse – im Sinne von Art. 6 Abs. 1 BauR – aufweisen dürften (vgl. demgegenüber Replik vom 4. Dezember 2019, act. 14, S. 3 Rz. 8, sowie act. 32, S. 5 f. Votum RA M. Pestalozzi, wonach dafür die gesamte Erscheinungsweise massgebend sei bzw. Gebäude höchstens zweigeschossig in Erscheinung treten dürften, siehe dazu auch act. 1, S. 18), zumal die Beschwerdeführer die Notwendigkeit eines Beizugs der ENHK im vorliegenden Fall, d.h. auch für die Auslegung des in Frage stehenden Passus, verneint haben (vgl. act. 32, S. 7 f., Votum RA Pestalozzi). Aus den Bauplänen (act. 8/7/1) ergibt sich unzweifelhaft, dass das vertikal gestaffelte Haus "R.__" mit Flachdach drei Vollgeschosse aufweist. Allerdings beträgt die Gebäudehöhe in Metern lediglich 10.45 m (unterer Gebäudeteil) bzw. 8.85 m (oberer Gebäudeteil) über dem jeweiligen Niveaupunkt. Demgegenüber ist nach der Regelbauweise bei höchstens zweigeschossigen Bauten laut der Tabelle unter Art. 8 BauR eine Gebäudehöhe (Art. 60 BauG, vgl. zum Intertemporalrecht E. 2 hiervor) in Metern von maximal (Wohnzone W2c) 8.00 m und eine Firsthöhe von maximal 12.00 m zulässig. Oberhalb der zwei Vollgeschosse wäre zusätzlich ein Dach- bzw. Attikageschoss erlaubt. Durch den Verzicht auf ein Attikageschoss unterschreitet das Haus "R.__" demnach die für maximal zweigeschossige Gebäude zulässige Firsthöhe um 1.55 m bzw. um 3.15 m. In der Höhe tritt es somit weniger hoch in Erscheinung als ein Vergleichsprojekt nach der Regelbauweise für maximal zweigeschossige Gebäude, selbst wenn es drei Vollgeschosse und keinen Attikarücksprung (vgl. Art. 6 Abs. 3 und 5 BauR) aufweist. Weiter unterschreitet das Haus "T.__" mit einer Gebäudehöhe von 5.85 m die in der W2c zulässige Gebäudehöhe um 2.15 m. Ferner kann angesichts der geplanten polygonalen Grundrisse nicht von einem von den Beschwerdeführern befürchteten (act. 1, S. 12-20, 60 Rz. 16, 128) "massiv in Erscheinung tretenden, sehr lang gezogenen Riegel" gesprochen werden, selbst wenn die Gebäude "Tal" und "Berg" gesamthaft betrachtet werden (vgl. dazu die nachvollziehbaren Ausführungen der Beschwerdegegnerin in ihrer Vernehmlassung vom 21. November 2019 act. 12, S. 6 f., 10 Rz. 13, 25, Votum W.__ am Augenschein vom 17. Juni 2020 mitsamt Bild 3, act. 32, S. 5, sowie Pläne "Fassaden", Südfassaden, vom 17. Oktober 2017, act. 8/7/1). Nach Einschätzung der fachkundigen DP am Augenschein vom 17. Juni 2020 (act. 32, S. 7) lässt sich unter diesen Umständen nicht mehr sagen, das umstrittene Bauvorhaben bewirke im Widerspruch zum Gutachten einen unzulässigen schwerwiegenden Eingriff in den Hangbereich des Y.__s. Demzufolge erscheint das Projekt trotz der drei Vollgeschosses des Hauses "Tal" dank dem Verzicht auf die Erstellung von Attikageschossen als mit den im Gutachten umschriebenen ISOS-Schutzzielen vereinbar. Angesichts der konkreten Gegebenheiten lässt sich folglich die Ansicht der Vorinstanz in Erwägung 7.2 des angefochtenen Entscheids (act. 2/1, S. 21) vertreten, wonach nicht von einer (mehr als unerheblichen) Beeinträchtigung der Umgebung der Kulturschutzobjekte Schloss und Haus Y.__ im Sinne von Art. 99 Abs. 1 PBG und Art. 5 SchutzV auszugehen ist. Unter Beachtung der im Gutachten umschriebenen ISOS-Schutzziele ist der unbestimmte Rechtsbegriff "beeinträchtigen" nach Art. 99 Abs. 1 PBG und Art. 5 SchutzV einer solchen Auslegung zugänglich (vgl. dazu P. Heer, Von den Schwierigkeiten beim Bauen in Inventargebieten [ISOS, BLN und IVS], in: BR 2019, S. 195 ff., S. 206). Daran ändert nichts, falls der zum Haus Y.__ (Einzelelement Nr. 0026_) gehörende Pavillon gemäss den Beschwerdeführern durch das Haus "T.__" vollständig verdeckt würde. Das öffentliche Interesse an der ungeschmälerten Erhaltung eines Ortsbildes von nationaler Bedeutung vermag somit einen Bauabschlag im konkreten Fall nicht zu rechtfertigen. Im übrigen haben die Beschwerdeführer die Auflagen Nrn. 10 und 16 in der Baubewilligung vom 8. Oktober 2018 (act. 8/7/11, S. 8) nicht beanstandet, wonach spätestens im Zeitpunkt der Rohbauvollendung ein detaillierter Umgebungsplan zur Genehmigung einzureichen sei sowie die definitive Farb- und Materialgebung der Zustimmung der Bau- und Umweltkommission bedürfe und entsprechende Farb- und Materialmuster rechtzeitig zur Genehmigung einzureichen seien (vgl. dazu VerwGE B 2011/122 vom 1. Mai 2012 E. 2.3 mit Hinweisen). Die Beschwerde ist daher in der Hauptsache abzuweisen, soweit darauf einzutreten ist. Dem Ausgang des Verfahrens entsprechend gehen die amtlichen Kosten des Beschwerdeverfahrens zulasten der mehrheitlich unterliegenden Beschwerdeführer (Art. 95 Abs. 1 VRP). Die Beschwerdeführer haften solidarisch (Art. 96 bis VRP). Für das Beschwerdeverfahren erscheint eine Entscheidgebühr von CHF 5'000 angemessen (Art. 7 Ziff. 222 der Gerichtskostenverordnung, sGS 941.12). Der von ihnen geleistete Kostenvorschuss im Betrag von CHF 4'000 ist anzurechnen. Der Verlegung der amtlichen Kosten entsprechend haben die Beschwerdeführer die mehrheitlich obsiegende Beschwerdegegnerin für das Beschwerdeverfahren unter solidarischer Haftbarkeit ausseramtlich ermessensweise pauschal mit insgesamt CHF 6'000 zuzüglich CHF 240 Barauslagen (vier Prozent von CHF 6'000) und Mehrwertsteuer zu entschädigen (Art. 98 Abs. 1 und 2 in Verbindung mit Art. 98 bis VRP; Art. 98 ter VRP in Verbindung mit Art. 106 Abs. 3 der Schweizerischen Zivilprozessordnung, Zivilprozessordnung; SR 272, ZPO, Art. 30 Ingress und lit. b Ziff. 1 sowie Art. 31 Abs. 1 und 2 des Anwaltsgesetzes; sGS 963.70, AnwG; Art. 6, Art. 19, Art. 22 Abs. 1 Ingress und lit. b, Art. 28 bis sowie Art. 29 der Honorarordnung, sGS 963.5, HonO). Demnach erkennt das Verwaltungsgericht auf dem Zirkulationsweg zu Recht: Die Beschwerde wird teilweise gutgeheissen, soweit darauf eingetreten wird. Ziffer 1a des Dispositivs des angefochtenen Entscheids wird aufgehoben, soweit auf den Rekurs der Beschwerdeführer 1, 4 und 5 nicht eingetreten wurde. Im Übrigen wird die Beschwerde abgewiesen. Die Beschwerdeführer bezahlen die amtlichen Kosten des Beschwerdeverfahrens von CHF 5'000. Der von ihnen geleistete Kostenvorschuss von CHF 4'000 wird angerechnet. Die Beschwerdeführer entschädigen die Beschwerdegegnerin für das Beschwerdeverfahren ausseramtlich mit insgesamt CHF 6'240 (inklusive Barauslagen) zuzüglich Mehrwertsteuer unter solidarischer Haftbarkeit.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